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>
          <w:rFonts w:ascii="Josefin Sans" w:cs="Josefin Sans" w:eastAsia="Josefin Sans" w:hAnsi="Josefin Sans"/>
          <w:sz w:val="40"/>
          <w:szCs w:val="40"/>
        </w:rPr>
      </w:pPr>
      <w:bookmarkStart w:colFirst="0" w:colLast="0" w:name="_cfymozu8af1w" w:id="0"/>
      <w:bookmarkEnd w:id="0"/>
      <w:r w:rsidDel="00000000" w:rsidR="00000000" w:rsidRPr="00000000">
        <w:rPr>
          <w:rFonts w:ascii="Josefin Sans" w:cs="Josefin Sans" w:eastAsia="Josefin Sans" w:hAnsi="Josefin Sans"/>
          <w:sz w:val="40"/>
          <w:szCs w:val="40"/>
          <w:rtl w:val="0"/>
        </w:rPr>
        <w:t xml:space="preserve">Rubrik</w:t>
      </w:r>
    </w:p>
    <w:p w:rsidR="00000000" w:rsidDel="00000000" w:rsidP="00000000" w:rsidRDefault="00000000" w:rsidRPr="00000000" w14:paraId="00000002">
      <w:pPr>
        <w:pStyle w:val="Heading1"/>
        <w:spacing w:after="100" w:before="100" w:lineRule="auto"/>
        <w:rPr>
          <w:rFonts w:ascii="Nunito" w:cs="Nunito" w:eastAsia="Nunito" w:hAnsi="Nunito"/>
          <w:sz w:val="24"/>
          <w:szCs w:val="24"/>
        </w:rPr>
      </w:pPr>
      <w:bookmarkStart w:colFirst="0" w:colLast="0" w:name="_auvxnpqxqbyr" w:id="1"/>
      <w:bookmarkEnd w:id="1"/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Problembeskrivning</w:t>
      </w:r>
    </w:p>
    <w:p w:rsidR="00000000" w:rsidDel="00000000" w:rsidP="00000000" w:rsidRDefault="00000000" w:rsidRPr="00000000" w14:paraId="00000003">
      <w:pPr>
        <w:pStyle w:val="Heading2"/>
        <w:numPr>
          <w:ilvl w:val="0"/>
          <w:numId w:val="1"/>
        </w:numPr>
        <w:spacing w:before="0" w:lineRule="auto"/>
        <w:ind w:left="720" w:hanging="360"/>
        <w:rPr>
          <w:rFonts w:ascii="Nunito" w:cs="Nunito" w:eastAsia="Nunito" w:hAnsi="Nunito"/>
          <w:sz w:val="24"/>
          <w:szCs w:val="24"/>
          <w:u w:val="none"/>
        </w:rPr>
      </w:pPr>
      <w:bookmarkStart w:colFirst="0" w:colLast="0" w:name="_egdh45jmq43u" w:id="2"/>
      <w:bookmarkEnd w:id="2"/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Vad vill ni ändra och varför?</w:t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1"/>
        </w:numPr>
        <w:spacing w:before="0" w:lineRule="auto"/>
        <w:ind w:left="720" w:hanging="360"/>
        <w:rPr>
          <w:rFonts w:ascii="Nunito" w:cs="Nunito" w:eastAsia="Nunito" w:hAnsi="Nunito"/>
          <w:sz w:val="24"/>
          <w:szCs w:val="24"/>
          <w:u w:val="none"/>
        </w:rPr>
      </w:pPr>
      <w:bookmarkStart w:colFirst="0" w:colLast="0" w:name="_n3vxkj9ns5zb" w:id="3"/>
      <w:bookmarkEnd w:id="3"/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Problematisera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rFonts w:ascii="Nunito" w:cs="Nunito" w:eastAsia="Nunito" w:hAnsi="Nunito"/>
          <w:sz w:val="24"/>
          <w:szCs w:val="24"/>
        </w:rPr>
      </w:pPr>
      <w:bookmarkStart w:colFirst="0" w:colLast="0" w:name="_aqjhdg1q8vol" w:id="4"/>
      <w:bookmarkEnd w:id="4"/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Vi/jag yrkar:</w:t>
      </w:r>
    </w:p>
    <w:p w:rsidR="00000000" w:rsidDel="00000000" w:rsidP="00000000" w:rsidRDefault="00000000" w:rsidRPr="00000000" w14:paraId="00000006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ab/>
        <w:t xml:space="preserve">Sammanfatta EXAKT vad det är ni vill förändra/förbättra</w:t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ab/>
        <w:t xml:space="preserve">…</w:t>
      </w:r>
    </w:p>
    <w:p w:rsidR="00000000" w:rsidDel="00000000" w:rsidP="00000000" w:rsidRDefault="00000000" w:rsidRPr="00000000" w14:paraId="00000008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ab/>
        <w:t xml:space="preserve">…</w:t>
      </w:r>
    </w:p>
    <w:p w:rsidR="00000000" w:rsidDel="00000000" w:rsidP="00000000" w:rsidRDefault="00000000" w:rsidRPr="00000000" w14:paraId="00000009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Nunito" w:cs="Nunito" w:eastAsia="Nunito" w:hAnsi="Nunito"/>
          <w:i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i w:val="1"/>
          <w:sz w:val="24"/>
          <w:szCs w:val="24"/>
          <w:rtl w:val="0"/>
        </w:rPr>
        <w:t xml:space="preserve">Underskrift</w:t>
      </w:r>
    </w:p>
    <w:p w:rsidR="00000000" w:rsidDel="00000000" w:rsidP="00000000" w:rsidRDefault="00000000" w:rsidRPr="00000000" w14:paraId="0000000B">
      <w:pPr>
        <w:rPr>
          <w:rFonts w:ascii="Josefin Sans" w:cs="Josefin Sans" w:eastAsia="Josefin Sans" w:hAnsi="Josefin Sans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Josefin Sans" w:cs="Josefin Sans" w:eastAsia="Josefin Sans" w:hAnsi="Josefi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Josefin Sans" w:cs="Josefin Sans" w:eastAsia="Josefin Sans" w:hAnsi="Josefi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Josefin Sans" w:cs="Josefin Sans" w:eastAsia="Josefin Sans" w:hAnsi="Josefin Sans"/>
          <w:sz w:val="28"/>
          <w:szCs w:val="28"/>
        </w:rPr>
      </w:pPr>
      <w:r w:rsidDel="00000000" w:rsidR="00000000" w:rsidRPr="00000000">
        <w:rPr>
          <w:rFonts w:ascii="Josefin Sans" w:cs="Josefin Sans" w:eastAsia="Josefin Sans" w:hAnsi="Josefin Sans"/>
          <w:sz w:val="28"/>
          <w:szCs w:val="28"/>
          <w:rtl w:val="0"/>
        </w:rPr>
        <w:t xml:space="preserve">Kom ihåg!</w:t>
      </w:r>
    </w:p>
    <w:p w:rsidR="00000000" w:rsidDel="00000000" w:rsidP="00000000" w:rsidRDefault="00000000" w:rsidRPr="00000000" w14:paraId="0000000F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Beslut fattas ENDAST efter vad som står i att-satsen. Man tar beslut per att-sats, d.v.s. en och en vilket kan innebära att en att-sats avslås medan en annan godkänns i samma motion. Tänk på hur ni formulerar era att-satser, de kan avslås på grund av grammatikfel. </w:t>
      </w:r>
    </w:p>
    <w:p w:rsidR="00000000" w:rsidDel="00000000" w:rsidP="00000000" w:rsidRDefault="00000000" w:rsidRPr="00000000" w14:paraId="00000010">
      <w:pPr>
        <w:spacing w:before="200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Skriver ni under med ett utskottsnamn ska det finnas dokumenterat att samtliga i utskottet står bakom motionen. Enklast är om man skriver under med namn.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sefi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>
        <w:rFonts w:ascii="Nunito" w:cs="Nunito" w:eastAsia="Nunito" w:hAnsi="Nunito"/>
      </w:rPr>
    </w:pPr>
    <w:r w:rsidDel="00000000" w:rsidR="00000000" w:rsidRPr="00000000">
      <w:rPr>
        <w:rFonts w:ascii="Nunito" w:cs="Nunito" w:eastAsia="Nunito" w:hAnsi="Nunito"/>
        <w:color w:val="666666"/>
        <w:rtl w:val="0"/>
      </w:rPr>
      <w:t xml:space="preserve">Logistiksektionens guide för motionsskrivning 2024-04-26</w:t>
    </w:r>
    <w:r w:rsidDel="00000000" w:rsidR="00000000" w:rsidRPr="00000000">
      <w:rPr>
        <w:rFonts w:ascii="Nunito" w:cs="Nunito" w:eastAsia="Nunito" w:hAnsi="Nunito"/>
        <w:rtl w:val="0"/>
      </w:rPr>
      <w:br w:type="textWrapping"/>
    </w:r>
    <w:r w:rsidDel="00000000" w:rsidR="00000000" w:rsidRPr="00000000">
      <w:rPr>
        <w:rFonts w:ascii="Nunito" w:cs="Nunito" w:eastAsia="Nunito" w:hAnsi="Nunito"/>
        <w:color w:val="666666"/>
        <w:rtl w:val="0"/>
      </w:rPr>
      <w:t xml:space="preserve">Motion skickas till</w:t>
    </w:r>
    <w:r w:rsidDel="00000000" w:rsidR="00000000" w:rsidRPr="00000000">
      <w:rPr>
        <w:rFonts w:ascii="Nunito" w:cs="Nunito" w:eastAsia="Nunito" w:hAnsi="Nunito"/>
        <w:color w:val="434343"/>
        <w:rtl w:val="0"/>
      </w:rPr>
      <w:t xml:space="preserve"> </w:t>
    </w:r>
    <w:hyperlink r:id="rId1">
      <w:r w:rsidDel="00000000" w:rsidR="00000000" w:rsidRPr="00000000">
        <w:rPr>
          <w:rFonts w:ascii="Nunito" w:cs="Nunito" w:eastAsia="Nunito" w:hAnsi="Nunito"/>
          <w:color w:val="3c78d8"/>
          <w:u w:val="single"/>
          <w:rtl w:val="0"/>
        </w:rPr>
        <w:t xml:space="preserve">ordf@logistiksektionen.se</w:t>
      </w:r>
    </w:hyperlink>
    <w:r w:rsidDel="00000000" w:rsidR="00000000" w:rsidRPr="00000000">
      <w:rPr>
        <w:rFonts w:ascii="Nunito" w:cs="Nunito" w:eastAsia="Nunito" w:hAnsi="Nunito"/>
        <w:rtl w:val="0"/>
      </w:rPr>
      <w:t xml:space="preserve"> </w:t>
    </w:r>
  </w:p>
  <w:p w:rsidR="00000000" w:rsidDel="00000000" w:rsidP="00000000" w:rsidRDefault="00000000" w:rsidRPr="00000000" w14:paraId="00000012">
    <w:pPr>
      <w:rPr>
        <w:rFonts w:ascii="Nunito" w:cs="Nunito" w:eastAsia="Nunito" w:hAnsi="Nunito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JosefinSans-regular.ttf"/><Relationship Id="rId6" Type="http://schemas.openxmlformats.org/officeDocument/2006/relationships/font" Target="fonts/JosefinSans-bold.ttf"/><Relationship Id="rId7" Type="http://schemas.openxmlformats.org/officeDocument/2006/relationships/font" Target="fonts/JosefinSans-italic.ttf"/><Relationship Id="rId8" Type="http://schemas.openxmlformats.org/officeDocument/2006/relationships/font" Target="fonts/Josefi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ordf@logistiksektione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